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6F" w:rsidRDefault="00935803">
      <w:pPr>
        <w:spacing w:after="0" w:line="259" w:lineRule="auto"/>
        <w:ind w:left="3725" w:right="955" w:hanging="10"/>
        <w:jc w:val="right"/>
      </w:pPr>
      <w:bookmarkStart w:id="0" w:name="_GoBack"/>
      <w:bookmarkEnd w:id="0"/>
      <w:r>
        <w:rPr>
          <w:sz w:val="16"/>
        </w:rPr>
        <w:t>ÚNIA</w:t>
      </w:r>
    </w:p>
    <w:p w:rsidR="00A31C6F" w:rsidRDefault="00935803">
      <w:pPr>
        <w:spacing w:after="0"/>
        <w:ind w:left="3725" w:right="955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2347118</wp:posOffset>
            </wp:positionH>
            <wp:positionV relativeFrom="paragraph">
              <wp:posOffset>-45721</wp:posOffset>
            </wp:positionV>
            <wp:extent cx="1179656" cy="384066"/>
            <wp:effectExtent l="0" t="0" r="0" b="0"/>
            <wp:wrapSquare wrapText="bothSides"/>
            <wp:docPr id="1358" name="Picture 1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" name="Picture 13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9656" cy="384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FOND</w:t>
      </w:r>
    </w:p>
    <w:p w:rsidR="00A31C6F" w:rsidRDefault="00935803">
      <w:pPr>
        <w:spacing w:after="752"/>
        <w:ind w:left="3725" w:right="955" w:hanging="10"/>
        <w:jc w:val="right"/>
      </w:pPr>
      <w:r>
        <w:rPr>
          <w:sz w:val="14"/>
        </w:rPr>
        <w:t>ROZVOJA</w:t>
      </w:r>
    </w:p>
    <w:p w:rsidR="00A31C6F" w:rsidRDefault="00935803">
      <w:pPr>
        <w:spacing w:after="203" w:line="259" w:lineRule="auto"/>
        <w:ind w:left="0" w:right="10" w:firstLine="0"/>
        <w:jc w:val="center"/>
      </w:pPr>
      <w:r>
        <w:rPr>
          <w:sz w:val="28"/>
        </w:rPr>
        <w:t>Kúpno-predajná zmluva</w:t>
      </w:r>
    </w:p>
    <w:p w:rsidR="00A31C6F" w:rsidRDefault="00935803">
      <w:pPr>
        <w:tabs>
          <w:tab w:val="center" w:pos="5088"/>
        </w:tabs>
        <w:ind w:left="0" w:firstLine="0"/>
        <w:jc w:val="left"/>
      </w:pPr>
      <w:r>
        <w:t>Názov;</w:t>
      </w:r>
      <w:r>
        <w:tab/>
        <w:t>TOMS-SK, s.r.o</w:t>
      </w:r>
    </w:p>
    <w:p w:rsidR="00A31C6F" w:rsidRDefault="00935803">
      <w:pPr>
        <w:tabs>
          <w:tab w:val="center" w:pos="5499"/>
        </w:tabs>
        <w:ind w:left="0" w:firstLine="0"/>
        <w:jc w:val="left"/>
      </w:pPr>
      <w:r>
        <w:t>V zastúpení „</w:t>
      </w:r>
      <w:r>
        <w:tab/>
        <w:t>Marek Murín, majitel'</w:t>
      </w:r>
    </w:p>
    <w:p w:rsidR="00A31C6F" w:rsidRDefault="00935803">
      <w:pPr>
        <w:tabs>
          <w:tab w:val="center" w:pos="5662"/>
        </w:tabs>
        <w:ind w:left="0" w:firstLine="0"/>
        <w:jc w:val="left"/>
      </w:pPr>
      <w:r>
        <w:t>Adresa:</w:t>
      </w:r>
      <w:r>
        <w:tab/>
        <w:t>Jesenského 6, 962 12 Detva</w:t>
      </w:r>
    </w:p>
    <w:p w:rsidR="00A31C6F" w:rsidRDefault="00935803">
      <w:pPr>
        <w:tabs>
          <w:tab w:val="center" w:pos="4901"/>
        </w:tabs>
        <w:spacing w:after="0" w:line="262" w:lineRule="auto"/>
        <w:ind w:left="0" w:firstLine="0"/>
        <w:jc w:val="left"/>
      </w:pPr>
      <w:r>
        <w:t>IČO:</w:t>
      </w:r>
      <w:r>
        <w:tab/>
      </w:r>
      <w:r>
        <w:t>36621323</w:t>
      </w:r>
    </w:p>
    <w:p w:rsidR="00A31C6F" w:rsidRDefault="00935803">
      <w:pPr>
        <w:tabs>
          <w:tab w:val="center" w:pos="5136"/>
        </w:tabs>
        <w:spacing w:line="259" w:lineRule="auto"/>
        <w:ind w:left="0" w:firstLine="0"/>
        <w:jc w:val="left"/>
      </w:pPr>
      <w:r>
        <w:rPr>
          <w:sz w:val="22"/>
        </w:rPr>
        <w:t>IČ DPH:</w:t>
      </w:r>
      <w:r>
        <w:rPr>
          <w:sz w:val="22"/>
        </w:rPr>
        <w:tab/>
      </w:r>
      <w:r>
        <w:rPr>
          <w:sz w:val="22"/>
        </w:rPr>
        <w:t>SK2020072813</w:t>
      </w:r>
    </w:p>
    <w:p w:rsidR="00A31C6F" w:rsidRDefault="00935803">
      <w:pPr>
        <w:pStyle w:val="Heading1"/>
        <w:tabs>
          <w:tab w:val="center" w:pos="5028"/>
        </w:tabs>
        <w:spacing w:line="262" w:lineRule="auto"/>
        <w:ind w:left="0"/>
      </w:pPr>
      <w:r>
        <w:rPr>
          <w:sz w:val="24"/>
        </w:rPr>
        <w:t>DIC:</w:t>
      </w:r>
      <w:r>
        <w:rPr>
          <w:sz w:val="24"/>
        </w:rPr>
        <w:tab/>
      </w:r>
      <w:r>
        <w:rPr>
          <w:sz w:val="24"/>
        </w:rPr>
        <w:t>2020072813</w:t>
      </w:r>
    </w:p>
    <w:p w:rsidR="00A31C6F" w:rsidRDefault="00935803">
      <w:pPr>
        <w:tabs>
          <w:tab w:val="center" w:pos="5427"/>
        </w:tabs>
        <w:spacing w:line="259" w:lineRule="auto"/>
        <w:ind w:left="0" w:firstLine="0"/>
        <w:jc w:val="left"/>
      </w:pPr>
      <w:r>
        <w:rPr>
          <w:sz w:val="22"/>
        </w:rPr>
        <w:t>Bankové spojenie:</w:t>
      </w:r>
      <w:r>
        <w:rPr>
          <w:sz w:val="22"/>
        </w:rPr>
        <w:tab/>
      </w:r>
      <w:r>
        <w:rPr>
          <w:sz w:val="22"/>
        </w:rPr>
        <w:t xml:space="preserve">3426087856/0200 </w:t>
      </w:r>
      <w:r>
        <w:rPr>
          <w:noProof/>
        </w:rPr>
        <w:drawing>
          <wp:inline distT="0" distB="0" distL="0" distR="0">
            <wp:extent cx="21337" cy="18289"/>
            <wp:effectExtent l="0" t="0" r="0" b="0"/>
            <wp:docPr id="1233" name="Picture 1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" name="Picture 12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C6F" w:rsidRDefault="00935803">
      <w:pPr>
        <w:pStyle w:val="Heading1"/>
        <w:tabs>
          <w:tab w:val="center" w:pos="5914"/>
        </w:tabs>
        <w:ind w:left="0"/>
      </w:pPr>
      <w:r>
        <w:t>IBAN:</w:t>
      </w:r>
      <w:r>
        <w:tab/>
        <w:t>SK49 0200 0000 0034 2608 7856</w:t>
      </w:r>
    </w:p>
    <w:p w:rsidR="00A31C6F" w:rsidRDefault="00935803">
      <w:pPr>
        <w:tabs>
          <w:tab w:val="center" w:pos="5072"/>
        </w:tabs>
        <w:ind w:left="0" w:firstLine="0"/>
        <w:jc w:val="left"/>
      </w:pPr>
      <w:r>
        <w:t>Telefonický kontakt:</w:t>
      </w:r>
      <w:r>
        <w:tab/>
      </w:r>
      <w:r>
        <w:t>045/5455273</w:t>
      </w:r>
    </w:p>
    <w:p w:rsidR="00A31C6F" w:rsidRDefault="00935803">
      <w:pPr>
        <w:pStyle w:val="Heading2"/>
        <w:spacing w:after="846"/>
        <w:ind w:left="19" w:right="2203"/>
      </w:pPr>
      <w:r>
        <w:t>E-mail:</w:t>
      </w:r>
      <w:r>
        <w:tab/>
        <w:t xml:space="preserve">toms@toms-sk.sk </w:t>
      </w:r>
      <w:r>
        <w:t>(d'alej len „Predávajúci")</w:t>
      </w:r>
    </w:p>
    <w:p w:rsidR="00A31C6F" w:rsidRDefault="00935803">
      <w:pPr>
        <w:tabs>
          <w:tab w:val="center" w:pos="4973"/>
        </w:tabs>
        <w:ind w:left="0" w:firstLine="0"/>
        <w:jc w:val="left"/>
      </w:pPr>
      <w:r>
        <w:t>Názov:</w:t>
      </w:r>
      <w:r>
        <w:tab/>
        <w:t>C-bet, s.r.o.</w:t>
      </w:r>
    </w:p>
    <w:p w:rsidR="00A31C6F" w:rsidRDefault="00935803">
      <w:pPr>
        <w:tabs>
          <w:tab w:val="center" w:pos="6291"/>
        </w:tabs>
        <w:ind w:left="0" w:firstLine="0"/>
        <w:jc w:val="left"/>
      </w:pPr>
      <w:r>
        <w:t>V zastúpení</w:t>
      </w:r>
      <w:r>
        <w:tab/>
        <w:t>ing. Jakub Cubinek, konatel' spoločnosti</w:t>
      </w:r>
    </w:p>
    <w:p w:rsidR="00A31C6F" w:rsidRDefault="00935803">
      <w:pPr>
        <w:tabs>
          <w:tab w:val="center" w:pos="6384"/>
        </w:tabs>
        <w:ind w:left="0" w:firstLine="0"/>
        <w:jc w:val="left"/>
      </w:pPr>
      <w:r>
        <w:t>Adresa:</w:t>
      </w:r>
      <w:r>
        <w:tab/>
        <w:t>Kliňanská cesta 1292, 029 01 Námestovo</w:t>
      </w:r>
    </w:p>
    <w:p w:rsidR="00A31C6F" w:rsidRDefault="00935803">
      <w:pPr>
        <w:pStyle w:val="Heading2"/>
        <w:ind w:left="19" w:right="220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7288258</wp:posOffset>
            </wp:positionH>
            <wp:positionV relativeFrom="page">
              <wp:posOffset>6681534</wp:posOffset>
            </wp:positionV>
            <wp:extent cx="9144" cy="12192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IČO:</w:t>
      </w:r>
      <w:r>
        <w:tab/>
      </w:r>
      <w:r>
        <w:t xml:space="preserve">51544164 </w:t>
      </w:r>
      <w:r>
        <w:t>DIČ:</w:t>
      </w:r>
      <w:r>
        <w:tab/>
      </w:r>
      <w:r>
        <w:t>2120720613</w:t>
      </w:r>
    </w:p>
    <w:p w:rsidR="00A31C6F" w:rsidRDefault="00935803">
      <w:pPr>
        <w:tabs>
          <w:tab w:val="center" w:pos="6185"/>
        </w:tabs>
        <w:ind w:left="0" w:firstLine="0"/>
        <w:jc w:val="left"/>
      </w:pPr>
      <w:r>
        <w:t>Bankové spojenie:</w:t>
      </w:r>
      <w:r>
        <w:tab/>
        <w:t>Československá obchodná banka, a.s.</w:t>
      </w:r>
    </w:p>
    <w:p w:rsidR="00A31C6F" w:rsidRDefault="00935803">
      <w:pPr>
        <w:spacing w:after="214"/>
        <w:ind w:left="23" w:right="782"/>
      </w:pPr>
      <w:r>
        <w:t>IBAN:</w:t>
      </w:r>
      <w:r>
        <w:tab/>
        <w:t>SK19 7500 0000 0040 2566 4119 (dalej len „Kupujúci”)</w:t>
      </w:r>
    </w:p>
    <w:p w:rsidR="00A31C6F" w:rsidRDefault="00935803">
      <w:pPr>
        <w:spacing w:after="144" w:line="259" w:lineRule="auto"/>
        <w:ind w:right="24" w:hanging="10"/>
        <w:jc w:val="center"/>
      </w:pPr>
      <w:r>
        <w:t>Článok l.</w:t>
      </w:r>
    </w:p>
    <w:p w:rsidR="00A31C6F" w:rsidRDefault="00935803">
      <w:pPr>
        <w:spacing w:after="332"/>
        <w:ind w:left="23" w:right="14"/>
      </w:pPr>
      <w:r>
        <w:t>Predmetom tejto zmluvy sa na účely tejto Zmluvy rozumie tiež závizok Predávajúceho odplatne previesť na Kupujúceho vlastnícke právo k Predmetu kúpy a závizok Kupujúceho prevádzaný Predmet kúpy prevziať a zaplatit' kúpnu cenu. Predávajúci prevádza Predmet k</w:t>
      </w:r>
      <w:r>
        <w:t>úpy do výlučného vlastníctva Kupujúceho vcelku.</w:t>
      </w:r>
    </w:p>
    <w:p w:rsidR="00A31C6F" w:rsidRDefault="00935803">
      <w:pPr>
        <w:spacing w:after="252"/>
        <w:ind w:left="23" w:right="14"/>
      </w:pPr>
      <w:r>
        <w:t>Pod pojmom '</w:t>
      </w:r>
      <w:r>
        <w:rPr>
          <w:vertAlign w:val="superscript"/>
        </w:rPr>
        <w:t xml:space="preserve">d </w:t>
      </w:r>
      <w:r>
        <w:t>Predmet kúpy” sa pre účely tejto Zrnluvy rozumie dodávka kolesového rýpadlonakladača značky a špecifikácie: Hidromek 102 B Alpha (d'alej len „nakladač”).</w:t>
      </w:r>
    </w:p>
    <w:p w:rsidR="00A31C6F" w:rsidRDefault="00935803">
      <w:pPr>
        <w:spacing w:after="266" w:line="259" w:lineRule="auto"/>
        <w:ind w:right="38" w:hanging="10"/>
        <w:jc w:val="center"/>
      </w:pPr>
      <w:r>
        <w:t>Článok</w:t>
      </w:r>
      <w:r>
        <w:rPr>
          <w:noProof/>
        </w:rPr>
        <w:drawing>
          <wp:inline distT="0" distB="0" distL="0" distR="0">
            <wp:extent cx="109736" cy="94493"/>
            <wp:effectExtent l="0" t="0" r="0" b="0"/>
            <wp:docPr id="32981" name="Picture 32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81" name="Picture 329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736" cy="9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C6F" w:rsidRDefault="00935803">
      <w:pPr>
        <w:spacing w:after="281"/>
        <w:ind w:left="23" w:right="14"/>
      </w:pPr>
      <w:r>
        <w:t xml:space="preserve">Kúpna cena za Predmet kúpy bola </w:t>
      </w:r>
      <w:r>
        <w:t>Zmluvnými stranami dohodnutá spolu vo výške:</w:t>
      </w:r>
    </w:p>
    <w:p w:rsidR="00A31C6F" w:rsidRDefault="00935803">
      <w:pPr>
        <w:ind w:left="23" w:right="14"/>
      </w:pPr>
      <w:r>
        <w:t>67.280,00 EUR bez DPH</w:t>
      </w:r>
    </w:p>
    <w:p w:rsidR="00A31C6F" w:rsidRDefault="00935803">
      <w:pPr>
        <w:spacing w:after="236"/>
        <w:ind w:left="23" w:right="5424"/>
      </w:pPr>
      <w:r>
        <w:t xml:space="preserve">13.456,00 EUR (20%) DPH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238" name="Picture 1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" name="Picture 12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80.736,00 EUR s DPH,</w:t>
      </w:r>
    </w:p>
    <w:p w:rsidR="00A31C6F" w:rsidRDefault="00935803">
      <w:pPr>
        <w:ind w:left="23" w:right="14"/>
      </w:pPr>
      <w:r>
        <w:t>na základe prijatej cenovej ponuky zo dňa 22.06.2020, ktorá tvorí neoddelite(nú časť tejto zmluvya</w:t>
      </w:r>
    </w:p>
    <w:p w:rsidR="00A31C6F" w:rsidRDefault="00935803">
      <w:pPr>
        <w:ind w:left="23" w:right="14"/>
      </w:pPr>
      <w:r>
        <w:lastRenderedPageBreak/>
        <w:t xml:space="preserve">Kupujúci je povinný zaplatit' kúpnu celkovú </w:t>
      </w:r>
      <w:r>
        <w:t>cenu uvedenú tomto článku na účet predávajúceho</w:t>
      </w:r>
    </w:p>
    <w:p w:rsidR="00A31C6F" w:rsidRDefault="00935803">
      <w:pPr>
        <w:spacing w:after="0" w:line="243" w:lineRule="auto"/>
        <w:ind w:left="3696" w:right="823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2347118</wp:posOffset>
                </wp:positionH>
                <wp:positionV relativeFrom="paragraph">
                  <wp:posOffset>60963</wp:posOffset>
                </wp:positionV>
                <wp:extent cx="1176607" cy="408451"/>
                <wp:effectExtent l="0" t="0" r="0" b="0"/>
                <wp:wrapSquare wrapText="bothSides"/>
                <wp:docPr id="29978" name="Group 29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607" cy="408451"/>
                          <a:chOff x="0" y="0"/>
                          <a:chExt cx="1176607" cy="408451"/>
                        </a:xfrm>
                      </wpg:grpSpPr>
                      <pic:pic xmlns:pic="http://schemas.openxmlformats.org/drawingml/2006/picture">
                        <pic:nvPicPr>
                          <pic:cNvPr id="32984" name="Picture 329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3"/>
                            <a:ext cx="1176607" cy="3810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72" name="Rectangle 29972"/>
                        <wps:cNvSpPr/>
                        <wps:spPr>
                          <a:xfrm>
                            <a:off x="240808" y="0"/>
                            <a:ext cx="267571" cy="12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C6F" w:rsidRDefault="009358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MINI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73" name="Rectangle 29973"/>
                        <wps:cNvSpPr/>
                        <wps:spPr>
                          <a:xfrm>
                            <a:off x="448086" y="0"/>
                            <a:ext cx="514872" cy="121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C6F" w:rsidRDefault="009358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  <w:u w:val="single" w:color="000000"/>
                                </w:rPr>
                                <w:t>STERSWO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978" style="width:92.6462pt;height:32.1615pt;position:absolute;mso-position-horizontal-relative:text;mso-position-horizontal:absolute;margin-left:184.812pt;mso-position-vertical-relative:text;margin-top:4.80024pt;" coordsize="11766,4084">
                <v:shape id="Picture 32984" style="position:absolute;width:11766;height:3810;left:0;top:274;" filled="f">
                  <v:imagedata r:id="rId12"/>
                </v:shape>
                <v:rect id="Rectangle 29972" style="position:absolute;width:2675;height:1216;left:240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MINI</w:t>
                        </w:r>
                      </w:p>
                    </w:txbxContent>
                  </v:textbox>
                </v:rect>
                <v:rect id="Rectangle 29973" style="position:absolute;width:5148;height:1216;left:448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  <w:u w:val="single" w:color="000000"/>
                          </w:rPr>
                          <w:t xml:space="preserve">STERSWO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6"/>
        </w:rPr>
        <w:t>('NIA FOND</w:t>
      </w:r>
    </w:p>
    <w:p w:rsidR="00A31C6F" w:rsidRDefault="00935803">
      <w:pPr>
        <w:spacing w:after="739"/>
        <w:ind w:left="3725" w:right="955" w:hanging="10"/>
        <w:jc w:val="right"/>
      </w:pPr>
      <w:r>
        <w:rPr>
          <w:sz w:val="14"/>
        </w:rPr>
        <w:t>ROZVOJA</w:t>
      </w:r>
    </w:p>
    <w:p w:rsidR="00A31C6F" w:rsidRDefault="00935803">
      <w:pPr>
        <w:spacing w:after="263"/>
        <w:ind w:left="23" w:right="14"/>
      </w:pPr>
      <w:r>
        <w:t>na základe faktúry, ktorej splatnost' je 30 dní od jej doručenia. Predávajúci povinný odovzdať predmet kúpy Kupujúcemu spolu s faktúrou daňovým dokladom. Prílohou faktúry musí byť dodací list potvrdený predávajúcim, protokol o prevzatí predmetu zmluvy potv</w:t>
      </w:r>
      <w:r>
        <w:t>rdený kupujúcim, všetky doklady od predmetu zákazky nevyhnutné na jeho prevádzku.</w:t>
      </w:r>
    </w:p>
    <w:p w:rsidR="00A31C6F" w:rsidRDefault="00935803">
      <w:pPr>
        <w:spacing w:after="228"/>
        <w:ind w:left="23" w:right="14"/>
      </w:pPr>
      <w:r>
        <w:t xml:space="preserve">V prípade, že predávajúci poskytne Kupujúcemu, akúkolVek zvavu, viazanú na podmienky, ktoré musí kupujúci splnit' a ten tieto podmienky v stanovenom termíne nesplní, bude mu </w:t>
      </w:r>
      <w:r>
        <w:t>táto zrava dofakturovaná v plnej výške. Kupujúci uznáva bez výhrad oprávnenost' takejto fakturácie a zavazuje sa túto uhradit' v termíne splatnosti uvedenej na tejto faktúre.</w:t>
      </w:r>
    </w:p>
    <w:p w:rsidR="00A31C6F" w:rsidRDefault="00935803">
      <w:pPr>
        <w:spacing w:after="266" w:line="259" w:lineRule="auto"/>
        <w:ind w:right="14" w:hanging="10"/>
        <w:jc w:val="center"/>
      </w:pPr>
      <w:r>
        <w:t>Článok</w:t>
      </w:r>
      <w:r>
        <w:rPr>
          <w:noProof/>
        </w:rPr>
        <w:drawing>
          <wp:inline distT="0" distB="0" distL="0" distR="0">
            <wp:extent cx="146314" cy="97541"/>
            <wp:effectExtent l="0" t="0" r="0" b="0"/>
            <wp:docPr id="32985" name="Picture 32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85" name="Picture 329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314" cy="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C6F" w:rsidRDefault="00935803">
      <w:pPr>
        <w:spacing w:after="231"/>
        <w:ind w:left="23" w:right="14"/>
      </w:pPr>
      <w:r>
        <w:t>Predávajúci sa zavazuje dodat' predmet zmiuvy do 3 mesiacov Odo dňa potvr</w:t>
      </w:r>
      <w:r>
        <w:t>denia objednávky zaslanej kupujúcim a to písomne, alebo elektronicky (e-maiiom).</w:t>
      </w:r>
    </w:p>
    <w:p w:rsidR="00A31C6F" w:rsidRDefault="00935803">
      <w:pPr>
        <w:spacing w:after="229"/>
        <w:ind w:left="23" w:right="14"/>
      </w:pPr>
      <w:r>
        <w:t>Predávajúci garantuje kupujúcemu dohodnutú kúpnu cenu uvedenú v predmete zmluvy ku diíu podpísania tejto zmluvy. Vlastnícke právo na nakladač prechádza na kupujúceho až po úpl</w:t>
      </w:r>
      <w:r>
        <w:t>nom zaplatení kúpnej ceny.</w:t>
      </w:r>
    </w:p>
    <w:p w:rsidR="00A31C6F" w:rsidRDefault="00935803">
      <w:pPr>
        <w:spacing w:after="251"/>
        <w:ind w:left="23" w:right="14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637075</wp:posOffset>
            </wp:positionH>
            <wp:positionV relativeFrom="page">
              <wp:posOffset>10010108</wp:posOffset>
            </wp:positionV>
            <wp:extent cx="652316" cy="347488"/>
            <wp:effectExtent l="0" t="0" r="0" b="0"/>
            <wp:wrapTopAndBottom/>
            <wp:docPr id="3984" name="Picture 3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4" name="Picture 398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2316" cy="347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Predávajúci poskytuje na Predmet kúpy záruku. Predávajúci zodpovedá za to, že Predmet kúpy bude mat' počas celej záručnej doby vlastnosti dohodnuté touto Zmluvou a bude vyhovovat' požiadavkám technických noriem a všeobecne závöz</w:t>
      </w:r>
      <w:r>
        <w:t>ných právnych predpisov. Predávajúci zodpovedá za vady, ktoré má Predmet kúpy v čase jeho odovzdania Kupujúcemu, a za vady, ktoré vznikli počas záručnej doby. Záručná doba začína plynút' Odo dňa odovzdania a prevzatia Predmetu kúpy. Záručná doba sa končí u</w:t>
      </w:r>
      <w:r>
        <w:t>plynutím 36 mesiacov / 4000 mth ( čo nastane skör) plynúcich od odovzdania Predmetu kúpy, alebo nedodržaním pokynov v Návode na obsluhu Predávajúci sa zavözuje zabezpečit' záručný a pozáručný servis na Predmet kúpy.</w:t>
      </w:r>
    </w:p>
    <w:p w:rsidR="00A31C6F" w:rsidRDefault="00935803">
      <w:pPr>
        <w:spacing w:after="227" w:line="259" w:lineRule="auto"/>
        <w:ind w:right="5" w:hanging="10"/>
        <w:jc w:val="center"/>
      </w:pPr>
      <w:r>
        <w:t>Článok IV.</w:t>
      </w:r>
    </w:p>
    <w:p w:rsidR="00A31C6F" w:rsidRDefault="00935803">
      <w:pPr>
        <w:spacing w:after="251"/>
        <w:ind w:left="23" w:right="14"/>
      </w:pPr>
      <w:r>
        <w:t>Predávajúci sa zavazuje odovz</w:t>
      </w:r>
      <w:r>
        <w:t>dať kupujúcemu s nakladačom všetky doklady patriace k nakladaču. Predávajúci sa zavazuje poučiť kupujúceho o spósobe používania nakladača v rozsahu stanovenom výrobcom. Kupujúci súhlasí s dodaním technického preukazu v časovom posune a to max. do 7 dní opr</w:t>
      </w:r>
      <w:r>
        <w:t>oti odovzdaniu nakladača.</w:t>
      </w:r>
    </w:p>
    <w:p w:rsidR="00A31C6F" w:rsidRDefault="00935803">
      <w:pPr>
        <w:spacing w:after="266" w:line="259" w:lineRule="auto"/>
        <w:ind w:hanging="10"/>
        <w:jc w:val="center"/>
      </w:pPr>
      <w:r>
        <w:t>ČÍánok VG,</w:t>
      </w:r>
    </w:p>
    <w:p w:rsidR="00A31C6F" w:rsidRDefault="00935803">
      <w:pPr>
        <w:ind w:left="23" w:right="14"/>
      </w:pPr>
      <w:r>
        <w:t>Predávajúci berie na vedomie, že predmet kúpy je predmetom Zmluvy o poskytnutí nenávratného finančného príspevku z Integrovaného regionálneho operačného programu. Predávajúci sa preto zavizuje strpieť výkon kontroly/auditu súvisiaceho s predmetom kúpy kedy</w:t>
      </w:r>
      <w:r>
        <w:t xml:space="preserve">kol'vek počas platnosti a účinnosti Zmluvy o poskytnutí NFP oprávnenými osobami na výkon tejto kontroly/auditu a poskytnúť im všetku potrebnú súčinnosť. Zmluvné strany sa dohodli, že Kupujúci má právo odstúpiť od tejto zmluvy v prípade, kedy ešte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3894" name="Picture 3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4" name="Picture 38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nedošlo </w:t>
      </w:r>
      <w:r>
        <w:t>k plneniu z tejto zmluvy, a výsledky administratívnej finančnej kontroly, ktoré vykoná orgán poskytujúci nenávratný finančný príspevok, neumožnia použit' žiadaný</w:t>
      </w:r>
    </w:p>
    <w:p w:rsidR="00A31C6F" w:rsidRDefault="00935803">
      <w:pPr>
        <w:spacing w:after="0" w:line="259" w:lineRule="auto"/>
        <w:ind w:left="3725" w:right="955" w:hanging="10"/>
        <w:jc w:val="right"/>
      </w:pPr>
      <w:r>
        <w:rPr>
          <w:sz w:val="16"/>
        </w:rPr>
        <w:t>úNlA</w:t>
      </w:r>
    </w:p>
    <w:p w:rsidR="00A31C6F" w:rsidRDefault="00935803">
      <w:pPr>
        <w:spacing w:after="0"/>
        <w:ind w:left="3725" w:right="955" w:hanging="10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2359311</wp:posOffset>
                </wp:positionH>
                <wp:positionV relativeFrom="paragraph">
                  <wp:posOffset>-42673</wp:posOffset>
                </wp:positionV>
                <wp:extent cx="1179655" cy="384066"/>
                <wp:effectExtent l="0" t="0" r="0" b="0"/>
                <wp:wrapSquare wrapText="bothSides"/>
                <wp:docPr id="29769" name="Group 29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655" cy="384066"/>
                          <a:chOff x="0" y="0"/>
                          <a:chExt cx="1179655" cy="384066"/>
                        </a:xfrm>
                      </wpg:grpSpPr>
                      <pic:pic xmlns:pic="http://schemas.openxmlformats.org/drawingml/2006/picture">
                        <pic:nvPicPr>
                          <pic:cNvPr id="32988" name="Picture 329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55" cy="368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99" name="Rectangle 4499"/>
                        <wps:cNvSpPr/>
                        <wps:spPr>
                          <a:xfrm>
                            <a:off x="243856" y="300242"/>
                            <a:ext cx="640550" cy="111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C6F" w:rsidRDefault="0093580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SLOVENSKÉ:'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769" style="width:92.8862pt;height:30.2414pt;position:absolute;mso-position-horizontal-relative:text;mso-position-horizontal:absolute;margin-left:185.773pt;mso-position-vertical-relative:text;margin-top:-3.36016pt;" coordsize="11796,3840">
                <v:shape id="Picture 32988" style="position:absolute;width:11796;height:3688;left:0;top:0;" filled="f">
                  <v:imagedata r:id="rId17"/>
                </v:shape>
                <v:rect id="Rectangle 4499" style="position:absolute;width:6405;height:1114;left:2438;top:3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SLOVENSKÉ:'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4"/>
        </w:rPr>
        <w:t>FOND</w:t>
      </w:r>
    </w:p>
    <w:p w:rsidR="00A31C6F" w:rsidRDefault="00935803">
      <w:pPr>
        <w:spacing w:after="726"/>
        <w:ind w:left="3725" w:right="955" w:hanging="10"/>
        <w:jc w:val="right"/>
      </w:pPr>
      <w:r>
        <w:rPr>
          <w:sz w:val="14"/>
        </w:rPr>
        <w:t>ROZVOJA</w:t>
      </w:r>
    </w:p>
    <w:p w:rsidR="00A31C6F" w:rsidRDefault="00935803">
      <w:pPr>
        <w:ind w:left="23" w:right="14"/>
      </w:pPr>
      <w:r>
        <w:t>nenávratný finančný príspevok na financovanie predmetu kúpy p</w:t>
      </w:r>
      <w:r>
        <w:t>odfa tejto zmluvy. Oprávnenými osobami na výkon kontroly/auditu sú osobył ktoré sú ako oprávnené osoby na túto činnost' uvedené v predpisoch upravujúcich poskytovanie nenávratného finančného príspevku a v Zmluve o NFP.</w:t>
      </w:r>
    </w:p>
    <w:p w:rsidR="00A31C6F" w:rsidRDefault="00935803">
      <w:pPr>
        <w:spacing w:after="262"/>
        <w:ind w:left="23" w:right="14"/>
      </w:pPr>
      <w:r>
        <w:t>Na vzťahy medzi zmluvnými stranami vy</w:t>
      </w:r>
      <w:r>
        <w:t>pfývajúce z tejto Zmiuvy, ale ňou výslovne neupravené sa vzťahujú príslušné ustanovenia Obchodného zákonníka.</w:t>
      </w:r>
    </w:p>
    <w:p w:rsidR="00A31C6F" w:rsidRDefault="00935803">
      <w:pPr>
        <w:spacing w:after="264"/>
        <w:ind w:left="23" w:right="14"/>
      </w:pPr>
      <w:r>
        <w:t>Zmeny a dopinky obsahu Zmluvy možno uskutočniť len písomne.</w:t>
      </w:r>
    </w:p>
    <w:p w:rsidR="00A31C6F" w:rsidRDefault="00935803">
      <w:pPr>
        <w:spacing w:after="264"/>
        <w:ind w:left="23" w:right="14"/>
      </w:pPr>
      <w:r>
        <w:t>Zmluva nadobúda platnost' dňom podpisu oboma zmluvnými stranami a účinnosť jej zverejn</w:t>
      </w:r>
      <w:r>
        <w:t xml:space="preserve">ením. Predávajúci berie na vedomie, že na financovanie predmetu kúpy podl'a tejto Zmluvy sa poskytuje nenávratný finančný príspevok z fondov Európskej únie. Kupujúci má záujem realizovat' kúpu podl'a tejto zmluvy zo zdrojov získaných z fondov EU. Preto si </w:t>
      </w:r>
      <w:r>
        <w:t xml:space="preserve">Kupujúci vyhradzuje právo odstúpit' od tejto Zmluvy, ak nebude zo strany orgánu poskytujúceho nenávratný finančný príspevok schválené verejné obstarávanie pre obstaranie predmetu kúpy pod!a tejto Zmiuvy bez výhrad, alebo nedöjde k podpisu dodatku k Zmluve </w:t>
      </w:r>
      <w:r>
        <w:t>o poskytnutí finančného príspevku vzťahujúceho sa na predmet tejto Kúpnej zmluvy.</w:t>
      </w:r>
    </w:p>
    <w:p w:rsidR="00A31C6F" w:rsidRDefault="00935803">
      <w:pPr>
        <w:ind w:left="23" w:right="14"/>
      </w:pPr>
      <w:r>
        <w:t xml:space="preserve">Zmluvné strany vyhlasujú, že Zmluvu riadne prečítali, jej obsahu porozumeli a na znak súhiasu ju podpisujú. Zmluva je vyhotovená v piatich rovnopisoch, pre Predávajúceho dva </w:t>
      </w:r>
      <w:r>
        <w:t>rovnopisy a pre Kupujúceho tri rovnopisy.</w:t>
      </w:r>
    </w:p>
    <w:p w:rsidR="00A31C6F" w:rsidRDefault="00935803">
      <w:pPr>
        <w:spacing w:after="1581"/>
        <w:ind w:left="23" w:right="14"/>
      </w:pPr>
      <w:r>
        <w:t>V Detve , diía</w:t>
      </w:r>
      <w:r>
        <w:rPr>
          <w:noProof/>
        </w:rPr>
        <w:drawing>
          <wp:inline distT="0" distB="0" distL="0" distR="0">
            <wp:extent cx="874835" cy="274333"/>
            <wp:effectExtent l="0" t="0" r="0" b="0"/>
            <wp:docPr id="32989" name="Picture 32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89" name="Picture 3298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74835" cy="27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C6F" w:rsidRDefault="00935803">
      <w:pPr>
        <w:spacing w:after="48"/>
        <w:ind w:left="23" w:right="14"/>
      </w:pPr>
      <w:r>
        <w:t>p</w:t>
      </w:r>
    </w:p>
    <w:p w:rsidR="00A31C6F" w:rsidRDefault="00935803">
      <w:pPr>
        <w:tabs>
          <w:tab w:val="center" w:pos="6212"/>
        </w:tabs>
        <w:spacing w:after="1145"/>
        <w:ind w:left="0" w:firstLine="0"/>
        <w:jc w:val="left"/>
      </w:pPr>
      <w:r>
        <w:t>Marek Murín</w:t>
      </w:r>
      <w:r>
        <w:tab/>
        <w:t>Ing. Jakub Cubinek, konatel'</w:t>
      </w:r>
    </w:p>
    <w:p w:rsidR="00A31C6F" w:rsidRDefault="00935803">
      <w:pPr>
        <w:ind w:left="23" w:right="14"/>
      </w:pPr>
      <w:r>
        <w:t>Príloha č. 1 — Cenová ponuka zo dňa 22.06.2020</w:t>
      </w:r>
    </w:p>
    <w:p w:rsidR="00A31C6F" w:rsidRDefault="00A31C6F">
      <w:pPr>
        <w:sectPr w:rsidR="00A31C6F">
          <w:headerReference w:type="even" r:id="rId19"/>
          <w:headerReference w:type="default" r:id="rId20"/>
          <w:headerReference w:type="first" r:id="rId21"/>
          <w:pgSz w:w="11900" w:h="16820"/>
          <w:pgMar w:top="542" w:right="1051" w:bottom="1711" w:left="1949" w:header="667" w:footer="720" w:gutter="0"/>
          <w:cols w:space="720"/>
        </w:sectPr>
      </w:pPr>
    </w:p>
    <w:p w:rsidR="00A31C6F" w:rsidRDefault="00935803">
      <w:pPr>
        <w:spacing w:after="0" w:line="259" w:lineRule="auto"/>
        <w:ind w:left="14" w:firstLine="0"/>
        <w:jc w:val="left"/>
      </w:pPr>
      <w:r>
        <w:rPr>
          <w:rFonts w:ascii="Courier New" w:eastAsia="Courier New" w:hAnsi="Courier New" w:cs="Courier New"/>
          <w:sz w:val="12"/>
        </w:rPr>
        <w:t>C</w:t>
      </w:r>
      <w:r>
        <w:rPr>
          <w:rFonts w:ascii="Courier New" w:eastAsia="Courier New" w:hAnsi="Courier New" w:cs="Courier New"/>
          <w:sz w:val="12"/>
          <w:vertAlign w:val="superscript"/>
        </w:rPr>
        <w:t>o</w:t>
      </w:r>
      <w:r>
        <w:rPr>
          <w:rFonts w:ascii="Courier New" w:eastAsia="Courier New" w:hAnsi="Courier New" w:cs="Courier New"/>
          <w:sz w:val="12"/>
        </w:rPr>
        <w:t>bet S.r.o.</w:t>
      </w:r>
    </w:p>
    <w:p w:rsidR="00A31C6F" w:rsidRDefault="00935803">
      <w:pPr>
        <w:spacing w:after="432" w:line="259" w:lineRule="auto"/>
        <w:ind w:left="-29" w:right="-595" w:firstLine="0"/>
        <w:jc w:val="left"/>
      </w:pPr>
      <w:r>
        <w:rPr>
          <w:noProof/>
        </w:rPr>
        <w:drawing>
          <wp:inline distT="0" distB="0" distL="0" distR="0">
            <wp:extent cx="5687950" cy="313959"/>
            <wp:effectExtent l="0" t="0" r="0" b="0"/>
            <wp:docPr id="32991" name="Picture 32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91" name="Picture 3299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87950" cy="31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C6F" w:rsidRDefault="00935803">
      <w:pPr>
        <w:spacing w:after="134" w:line="259" w:lineRule="auto"/>
        <w:ind w:left="2381" w:firstLine="0"/>
        <w:jc w:val="left"/>
      </w:pPr>
      <w:r>
        <w:rPr>
          <w:u w:val="single" w:color="000000"/>
        </w:rPr>
        <w:t>Príloha č. Minimálne technické podmienkv</w:t>
      </w:r>
    </w:p>
    <w:p w:rsidR="00A31C6F" w:rsidRDefault="00935803">
      <w:pPr>
        <w:spacing w:after="42" w:line="259" w:lineRule="auto"/>
        <w:ind w:left="19" w:firstLine="0"/>
        <w:jc w:val="left"/>
      </w:pPr>
      <w:r>
        <w:rPr>
          <w:sz w:val="28"/>
        </w:rPr>
        <w:t>Predmet zákazky s nízkou hodnotou: „Kolesový rýpadlo.nakladač"</w:t>
      </w:r>
    </w:p>
    <w:p w:rsidR="00A31C6F" w:rsidRDefault="00935803">
      <w:pPr>
        <w:spacing w:line="262" w:lineRule="auto"/>
        <w:ind w:left="29" w:hanging="10"/>
        <w:jc w:val="left"/>
      </w:pPr>
      <w:r>
        <w:rPr>
          <w:sz w:val="20"/>
        </w:rPr>
        <w:t>Identifikácia uchádzača:</w:t>
      </w:r>
    </w:p>
    <w:tbl>
      <w:tblPr>
        <w:tblStyle w:val="TableGrid"/>
        <w:tblW w:w="7492" w:type="dxa"/>
        <w:tblInd w:w="706" w:type="dxa"/>
        <w:tblCellMar>
          <w:top w:w="35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14"/>
        <w:gridCol w:w="5178"/>
      </w:tblGrid>
      <w:tr w:rsidR="00A31C6F">
        <w:trPr>
          <w:trHeight w:val="509"/>
        </w:trPr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Obchodný názov /</w:t>
            </w:r>
          </w:p>
          <w:p w:rsidR="00A31C6F" w:rsidRDefault="00935803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Meno a priezvisko:</w:t>
            </w:r>
          </w:p>
        </w:tc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1C6F" w:rsidRDefault="0093580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TOMS -SK, s.r.o</w:t>
            </w:r>
          </w:p>
        </w:tc>
      </w:tr>
      <w:tr w:rsidR="00A31C6F">
        <w:trPr>
          <w:trHeight w:val="367"/>
        </w:trPr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Sídlo / Adresa:</w:t>
            </w:r>
          </w:p>
        </w:tc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Jesenského 6, 962 12 Detva</w:t>
            </w:r>
          </w:p>
        </w:tc>
      </w:tr>
      <w:tr w:rsidR="00A31C6F">
        <w:trPr>
          <w:trHeight w:val="344"/>
        </w:trPr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IČO:</w:t>
            </w:r>
          </w:p>
        </w:tc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36621323</w:t>
            </w:r>
          </w:p>
        </w:tc>
      </w:tr>
      <w:tr w:rsidR="00A31C6F">
        <w:trPr>
          <w:trHeight w:val="333"/>
        </w:trPr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DIČ:</w:t>
            </w:r>
          </w:p>
        </w:tc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SK2020072813</w:t>
            </w:r>
          </w:p>
        </w:tc>
      </w:tr>
      <w:tr w:rsidR="00A31C6F">
        <w:trPr>
          <w:trHeight w:val="355"/>
        </w:trPr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Telefón:</w:t>
            </w:r>
          </w:p>
        </w:tc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045/5455273</w:t>
            </w:r>
          </w:p>
        </w:tc>
      </w:tr>
      <w:tr w:rsidR="00A31C6F">
        <w:trPr>
          <w:trHeight w:val="341"/>
        </w:trPr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e-mail:</w:t>
            </w:r>
          </w:p>
        </w:tc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toms@toms-sk.sk</w:t>
            </w:r>
          </w:p>
        </w:tc>
      </w:tr>
      <w:tr w:rsidR="00A31C6F">
        <w:trPr>
          <w:trHeight w:val="344"/>
        </w:trPr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Platca: DPH</w:t>
            </w:r>
          </w:p>
        </w:tc>
        <w:tc>
          <w:tcPr>
            <w:tcW w:w="5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áno</w:t>
            </w:r>
          </w:p>
        </w:tc>
      </w:tr>
    </w:tbl>
    <w:p w:rsidR="00A31C6F" w:rsidRDefault="00935803">
      <w:pPr>
        <w:spacing w:line="262" w:lineRule="auto"/>
        <w:ind w:left="10" w:hanging="10"/>
        <w:jc w:val="left"/>
      </w:pPr>
      <w:r>
        <w:rPr>
          <w:sz w:val="20"/>
        </w:rPr>
        <w:t>Špecifikácia predmetu prieskumu:</w:t>
      </w:r>
    </w:p>
    <w:tbl>
      <w:tblPr>
        <w:tblStyle w:val="TableGrid"/>
        <w:tblW w:w="9865" w:type="dxa"/>
        <w:tblInd w:w="-24" w:type="dxa"/>
        <w:tblCellMar>
          <w:top w:w="0" w:type="dxa"/>
          <w:left w:w="19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4794"/>
        <w:gridCol w:w="1207"/>
        <w:gridCol w:w="1243"/>
        <w:gridCol w:w="1253"/>
        <w:gridCol w:w="1368"/>
      </w:tblGrid>
      <w:tr w:rsidR="00A31C6F">
        <w:trPr>
          <w:trHeight w:val="259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Technické vlastnosti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>Jednotka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Min.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Max.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53" w:firstLine="0"/>
            </w:pPr>
            <w:r>
              <w:rPr>
                <w:sz w:val="22"/>
              </w:rPr>
              <w:t>Aktuái.hodnota</w:t>
            </w:r>
          </w:p>
        </w:tc>
      </w:tr>
      <w:tr w:rsidR="00A31C6F">
        <w:trPr>
          <w:trHeight w:val="296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v kon motora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>kW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74,5</w:t>
            </w:r>
          </w:p>
        </w:tc>
      </w:tr>
      <w:tr w:rsidR="00A31C6F">
        <w:trPr>
          <w:trHeight w:val="304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maximáln krútiaci moment motora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>Nrn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450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  <w:tr w:rsidR="00A31C6F">
        <w:trPr>
          <w:trHeight w:val="296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re ravná 'chlosť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km/hod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40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40</w:t>
            </w:r>
          </w:p>
        </w:tc>
      </w:tr>
      <w:tr w:rsidR="00A31C6F">
        <w:trPr>
          <w:trHeight w:val="290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rozmer zadn 'ch neumatík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18" w:firstLine="0"/>
              <w:jc w:val="left"/>
            </w:pPr>
            <w:r>
              <w:rPr>
                <w:sz w:val="18"/>
              </w:rPr>
              <w:t>arec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26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28</w:t>
            </w:r>
          </w:p>
        </w:tc>
      </w:tr>
      <w:tr w:rsidR="00A31C6F">
        <w:trPr>
          <w:trHeight w:val="296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rozmer redn 'ch neumatík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18" w:firstLine="0"/>
              <w:jc w:val="left"/>
            </w:pPr>
            <w:r>
              <w:rPr>
                <w:sz w:val="20"/>
              </w:rPr>
              <w:t>alec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20</w:t>
            </w:r>
          </w:p>
        </w:tc>
      </w:tr>
      <w:tr w:rsidR="00A31C6F">
        <w:trPr>
          <w:trHeight w:val="295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h draulick' s stém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>l/min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130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67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147</w:t>
            </w:r>
          </w:p>
        </w:tc>
      </w:tr>
      <w:tr w:rsidR="00A31C6F">
        <w:trPr>
          <w:trHeight w:val="293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h draulick' s stém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bar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250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250</w:t>
            </w:r>
          </w:p>
        </w:tc>
      </w:tr>
      <w:tr w:rsidR="00A31C6F">
        <w:trPr>
          <w:trHeight w:val="298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115" w:firstLine="0"/>
              <w:jc w:val="left"/>
            </w:pPr>
            <w:r>
              <w:rPr>
                <w:sz w:val="18"/>
              </w:rPr>
              <w:t>revádzková hmotnost' stro-a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8500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9400</w:t>
            </w:r>
          </w:p>
        </w:tc>
      </w:tr>
      <w:tr w:rsidR="00A31C6F">
        <w:trPr>
          <w:trHeight w:val="293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alivová nádrž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67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140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150</w:t>
            </w:r>
          </w:p>
        </w:tc>
      </w:tr>
      <w:tr w:rsidR="00A31C6F">
        <w:trPr>
          <w:trHeight w:val="298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15" w:firstLine="0"/>
              <w:jc w:val="left"/>
            </w:pPr>
            <w:r>
              <w:rPr>
                <w:sz w:val="20"/>
              </w:rPr>
              <w:t>racovné svet)ome redné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22" w:firstLine="0"/>
              <w:jc w:val="left"/>
            </w:pPr>
            <w:r>
              <w:t>ks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</w:tr>
      <w:tr w:rsidR="00A31C6F">
        <w:trPr>
          <w:trHeight w:val="301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15" w:firstLine="0"/>
              <w:jc w:val="left"/>
            </w:pPr>
            <w:r>
              <w:rPr>
                <w:sz w:val="20"/>
              </w:rPr>
              <w:t>racovné svetlomet zadné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22" w:firstLine="0"/>
              <w:jc w:val="left"/>
            </w:pPr>
            <w:r>
              <w:t>ks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</w:tr>
      <w:tr w:rsidR="00A31C6F">
        <w:trPr>
          <w:trHeight w:val="290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svetlá v' ška odvozku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mm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370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401</w:t>
            </w:r>
          </w:p>
        </w:tc>
      </w:tr>
      <w:tr w:rsidR="00A31C6F">
        <w:trPr>
          <w:trHeight w:val="298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25" w:firstLine="0"/>
              <w:jc w:val="left"/>
            </w:pPr>
            <w:r>
              <w:rPr>
                <w:sz w:val="18"/>
              </w:rPr>
              <w:t>'ška otočného ča u redne• IO at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mm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3400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3461</w:t>
            </w:r>
          </w:p>
        </w:tc>
      </w:tr>
      <w:tr w:rsidR="00A31C6F">
        <w:trPr>
          <w:trHeight w:val="301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uhol klo enia redne• IO a v max. 'ške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>stu en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45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47,5</w:t>
            </w:r>
          </w:p>
        </w:tc>
      </w:tr>
      <w:tr w:rsidR="00A31C6F">
        <w:trPr>
          <w:trHeight w:val="232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nosnost' redne• to at do lne' v 'šk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k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3500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  <w:tr w:rsidR="00A31C6F">
        <w:trPr>
          <w:trHeight w:val="356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Šírka s IO atou v trans ortne• olohe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>mm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2480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2440</w:t>
            </w:r>
          </w:p>
        </w:tc>
      </w:tr>
      <w:tr w:rsidR="00A31C6F">
        <w:trPr>
          <w:trHeight w:val="293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v 'ška v trans ortne• olohe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>mm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3700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3593</w:t>
            </w:r>
          </w:p>
        </w:tc>
      </w:tr>
      <w:tr w:rsidR="00A31C6F">
        <w:trPr>
          <w:trHeight w:val="302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redná IO ata 4v1 —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  <w:tr w:rsidR="00A31C6F">
        <w:trPr>
          <w:trHeight w:val="301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z oteruvzdorného materiálu na r. hardox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  <w:tr w:rsidR="00A31C6F">
        <w:trPr>
          <w:trHeight w:val="298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s meniteln -m britom o objeme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  <w:tr w:rsidR="00A31C6F">
        <w:trPr>
          <w:trHeight w:val="293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IO ata s inte rovan • </w:t>
            </w:r>
            <w:r>
              <w:rPr>
                <w:sz w:val="20"/>
                <w:u w:val="single" w:color="000000"/>
              </w:rPr>
              <w:t>mi paletizačnými vidl</w:t>
            </w:r>
            <w:r>
              <w:rPr>
                <w:sz w:val="20"/>
              </w:rPr>
              <w:t>ami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7" w:firstLine="0"/>
              <w:jc w:val="left"/>
            </w:pPr>
            <w:r>
              <w:t>ks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  <w:tr w:rsidR="00A31C6F">
        <w:trPr>
          <w:trHeight w:val="614"/>
        </w:trPr>
        <w:tc>
          <w:tcPr>
            <w:tcW w:w="47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0" w:right="209" w:firstLine="0"/>
            </w:pPr>
            <w:r>
              <w:rPr>
                <w:sz w:val="20"/>
              </w:rPr>
              <w:t>predný dosah (vzdialenosť medzi dvoma zvislými rovinami medzi strojom a najnižším bodom plne vyklopenej lopaty ri lnom zdvihu ramena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mm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1000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1060</w:t>
            </w:r>
          </w:p>
        </w:tc>
      </w:tr>
      <w:tr w:rsidR="00A31C6F">
        <w:trPr>
          <w:trHeight w:val="293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trhacia sila redne- IO a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43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70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79</w:t>
            </w:r>
          </w:p>
        </w:tc>
      </w:tr>
      <w:tr w:rsidR="00A31C6F">
        <w:trPr>
          <w:trHeight w:val="293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trhacia sila redného ramena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60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71</w:t>
            </w:r>
          </w:p>
        </w:tc>
      </w:tr>
      <w:tr w:rsidR="00A31C6F">
        <w:trPr>
          <w:trHeight w:val="302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hÍbka v 'ko u zadn 'm ramenom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>mm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5500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5700</w:t>
            </w:r>
          </w:p>
        </w:tc>
      </w:tr>
      <w:tr w:rsidR="00A31C6F">
        <w:trPr>
          <w:trHeight w:val="298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trhacia sila zadne• IO at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43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60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72</w:t>
            </w:r>
          </w:p>
        </w:tc>
      </w:tr>
      <w:tr w:rsidR="00A31C6F">
        <w:trPr>
          <w:trHeight w:val="314"/>
        </w:trPr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trhacia sita zadného ramena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17" w:firstLine="0"/>
              <w:jc w:val="left"/>
            </w:pPr>
            <w:r>
              <w:rPr>
                <w:sz w:val="16"/>
              </w:rPr>
              <w:t>IAN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33</w:t>
            </w:r>
          </w:p>
        </w:tc>
      </w:tr>
    </w:tbl>
    <w:p w:rsidR="00A31C6F" w:rsidRDefault="00935803">
      <w:pPr>
        <w:spacing w:after="0" w:line="259" w:lineRule="auto"/>
        <w:ind w:left="58" w:firstLine="0"/>
        <w:jc w:val="left"/>
      </w:pPr>
      <w:r>
        <w:rPr>
          <w:rFonts w:ascii="Courier New" w:eastAsia="Courier New" w:hAnsi="Courier New" w:cs="Courier New"/>
          <w:sz w:val="10"/>
        </w:rPr>
        <w:t>C-bet s.r.o.</w:t>
      </w:r>
    </w:p>
    <w:p w:rsidR="00A31C6F" w:rsidRDefault="00935803">
      <w:pPr>
        <w:spacing w:after="214" w:line="259" w:lineRule="auto"/>
        <w:ind w:right="-648" w:firstLine="0"/>
        <w:jc w:val="left"/>
      </w:pPr>
      <w:r>
        <w:rPr>
          <w:noProof/>
        </w:rPr>
        <w:drawing>
          <wp:inline distT="0" distB="0" distL="0" distR="0">
            <wp:extent cx="5687951" cy="320055"/>
            <wp:effectExtent l="0" t="0" r="0" b="0"/>
            <wp:docPr id="32994" name="Picture 32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94" name="Picture 3299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87951" cy="32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77" w:type="dxa"/>
        <w:tblInd w:w="-5" w:type="dxa"/>
        <w:tblCellMar>
          <w:top w:w="21" w:type="dxa"/>
          <w:left w:w="8" w:type="dxa"/>
          <w:bottom w:w="2" w:type="dxa"/>
          <w:right w:w="152" w:type="dxa"/>
        </w:tblCellMar>
        <w:tblLook w:val="04A0" w:firstRow="1" w:lastRow="0" w:firstColumn="1" w:lastColumn="0" w:noHBand="0" w:noVBand="1"/>
      </w:tblPr>
      <w:tblGrid>
        <w:gridCol w:w="4796"/>
        <w:gridCol w:w="1250"/>
        <w:gridCol w:w="1253"/>
        <w:gridCol w:w="1249"/>
        <w:gridCol w:w="1329"/>
      </w:tblGrid>
      <w:tr w:rsidR="00A31C6F">
        <w:trPr>
          <w:trHeight w:val="261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tabs>
                <w:tab w:val="right" w:pos="463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Technické vlastnosti</w:t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054679" cy="128022"/>
                  <wp:effectExtent l="0" t="0" r="0" b="0"/>
                  <wp:docPr id="16922" name="Picture 16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2" name="Picture 1692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679" cy="128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59" w:firstLine="0"/>
              <w:jc w:val="left"/>
            </w:pPr>
            <w:r>
              <w:rPr>
                <w:sz w:val="20"/>
              </w:rPr>
              <w:t>Hodnotenie /Charakteristika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  <w:tr w:rsidR="00A31C6F">
        <w:trPr>
          <w:trHeight w:val="298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55" w:firstLine="0"/>
              <w:jc w:val="left"/>
            </w:pPr>
            <w:r>
              <w:rPr>
                <w:sz w:val="18"/>
              </w:rPr>
              <w:t>Motor</w:t>
            </w:r>
          </w:p>
        </w:tc>
        <w:tc>
          <w:tcPr>
            <w:tcW w:w="3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59" w:firstLine="0"/>
              <w:jc w:val="left"/>
            </w:pPr>
            <w:r>
              <w:rPr>
                <w:sz w:val="20"/>
              </w:rPr>
              <w:t>dieselov' s turbodúchadlom, Common Rail,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  <w:tr w:rsidR="00A31C6F">
        <w:trPr>
          <w:trHeight w:val="301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59" w:firstLine="0"/>
              <w:jc w:val="left"/>
            </w:pPr>
            <w:r>
              <w:rPr>
                <w:sz w:val="20"/>
              </w:rPr>
              <w:t>Prevodovka</w:t>
            </w:r>
          </w:p>
        </w:tc>
        <w:tc>
          <w:tcPr>
            <w:tcW w:w="3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59" w:firstLine="0"/>
              <w:jc w:val="left"/>
            </w:pPr>
            <w:r>
              <w:rPr>
                <w:sz w:val="20"/>
              </w:rPr>
              <w:t xml:space="preserve">Min. 6- </w:t>
            </w:r>
            <w:r>
              <w:rPr>
                <w:sz w:val="20"/>
                <w:vertAlign w:val="superscript"/>
              </w:rPr>
              <w:t xml:space="preserve">r </w:t>
            </w:r>
            <w:r>
              <w:rPr>
                <w:sz w:val="20"/>
              </w:rPr>
              <w:t>chfostná,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935803">
            <w:pPr>
              <w:spacing w:after="0" w:line="259" w:lineRule="auto"/>
              <w:ind w:left="5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</w:tr>
      <w:tr w:rsidR="00A31C6F">
        <w:trPr>
          <w:trHeight w:val="295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59" w:firstLine="0"/>
              <w:jc w:val="left"/>
            </w:pPr>
            <w:r>
              <w:rPr>
                <w:sz w:val="18"/>
              </w:rPr>
              <w:t>Radenie: doredu, neutrál, dozadu</w:t>
            </w:r>
          </w:p>
        </w:tc>
        <w:tc>
          <w:tcPr>
            <w:tcW w:w="3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64" w:firstLine="0"/>
              <w:jc w:val="left"/>
            </w:pPr>
            <w:r>
              <w:rPr>
                <w:sz w:val="20"/>
              </w:rPr>
              <w:t>na rednom 'o sticku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  <w:tr w:rsidR="00A31C6F">
        <w:trPr>
          <w:trHeight w:val="301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59" w:firstLine="0"/>
              <w:jc w:val="left"/>
            </w:pPr>
            <w:r>
              <w:rPr>
                <w:sz w:val="20"/>
              </w:rPr>
              <w:t>Predná ná rava</w:t>
            </w:r>
          </w:p>
        </w:tc>
        <w:tc>
          <w:tcPr>
            <w:tcW w:w="375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64" w:firstLine="0"/>
              <w:jc w:val="left"/>
            </w:pPr>
            <w:r>
              <w:rPr>
                <w:sz w:val="20"/>
              </w:rPr>
              <w:t>riadená, v 'k ná, s uzávie</w:t>
            </w:r>
            <w:r>
              <w:rPr>
                <w:sz w:val="20"/>
                <w:u w:val="single" w:color="000000"/>
              </w:rPr>
              <w:t>rkou</w:t>
            </w:r>
            <w:r>
              <w:rPr>
                <w:sz w:val="20"/>
              </w:rPr>
              <w:t xml:space="preserve"> d</w:t>
            </w:r>
            <w:r>
              <w:rPr>
                <w:sz w:val="20"/>
                <w:u w:val="single" w:color="000000"/>
              </w:rPr>
              <w:t>iferenciá</w:t>
            </w:r>
            <w:r>
              <w:rPr>
                <w:sz w:val="20"/>
              </w:rPr>
              <w:t>lu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  <w:tr w:rsidR="00A31C6F">
        <w:trPr>
          <w:trHeight w:val="413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>Zadná ná rava</w:t>
            </w:r>
          </w:p>
        </w:tc>
        <w:tc>
          <w:tcPr>
            <w:tcW w:w="37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64" w:firstLine="0"/>
              <w:jc w:val="left"/>
            </w:pPr>
            <w:r>
              <w:rPr>
                <w:sz w:val="20"/>
              </w:rPr>
              <w:t>pevná so 100 % uzávierkou diferenciálu s brzdami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  <w:tr w:rsidR="00A31C6F">
        <w:trPr>
          <w:trHeight w:val="309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64" w:firstLine="0"/>
              <w:jc w:val="left"/>
            </w:pPr>
            <w:r>
              <w:rPr>
                <w:sz w:val="20"/>
              </w:rPr>
              <w:t>Stabilizačné odpe</w:t>
            </w:r>
          </w:p>
        </w:tc>
        <w:tc>
          <w:tcPr>
            <w:tcW w:w="3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64" w:firstLine="0"/>
              <w:jc w:val="left"/>
            </w:pPr>
            <w:r>
              <w:rPr>
                <w:sz w:val="18"/>
              </w:rPr>
              <w:t>s oistn 'mi ventilmi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  <w:tr w:rsidR="00A31C6F">
        <w:trPr>
          <w:trHeight w:val="305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69" w:firstLine="0"/>
              <w:jc w:val="left"/>
            </w:pPr>
            <w:r>
              <w:rPr>
                <w:sz w:val="20"/>
              </w:rPr>
              <w:t>Blatník kolies</w:t>
            </w:r>
          </w:p>
        </w:tc>
        <w:tc>
          <w:tcPr>
            <w:tcW w:w="3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69" w:firstLine="0"/>
              <w:jc w:val="left"/>
            </w:pPr>
            <w:r>
              <w:rPr>
                <w:sz w:val="20"/>
              </w:rPr>
              <w:t>na obidvoch ná ravách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  <w:tr w:rsidR="00A31C6F">
        <w:trPr>
          <w:trHeight w:val="298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64" w:firstLine="0"/>
              <w:jc w:val="left"/>
            </w:pPr>
            <w:r>
              <w:rPr>
                <w:sz w:val="20"/>
              </w:rPr>
              <w:t>Predné nakiadacie rameno</w:t>
            </w:r>
          </w:p>
        </w:tc>
        <w:tc>
          <w:tcPr>
            <w:tcW w:w="3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69" w:firstLine="0"/>
              <w:jc w:val="left"/>
            </w:pPr>
            <w:r>
              <w:rPr>
                <w:sz w:val="20"/>
              </w:rPr>
              <w:t>s araleln 'm zdvihom, funkciou RTD,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  <w:tr w:rsidR="00A31C6F">
        <w:trPr>
          <w:trHeight w:val="302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69" w:firstLine="0"/>
              <w:jc w:val="left"/>
            </w:pPr>
            <w:r>
              <w:rPr>
                <w:sz w:val="20"/>
              </w:rPr>
              <w:t>tlmením ramena a láva'úcou olohou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  <w:tr w:rsidR="00A31C6F">
        <w:trPr>
          <w:trHeight w:val="302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59" w:firstLine="0"/>
              <w:jc w:val="left"/>
            </w:pPr>
            <w:r>
              <w:rPr>
                <w:sz w:val="20"/>
              </w:rPr>
              <w:t>Zadné odko ové rameno</w:t>
            </w:r>
          </w:p>
        </w:tc>
        <w:tc>
          <w:tcPr>
            <w:tcW w:w="3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74" w:firstLine="0"/>
              <w:jc w:val="left"/>
            </w:pPr>
            <w:r>
              <w:rPr>
                <w:sz w:val="20"/>
              </w:rPr>
              <w:t xml:space="preserve">stranovo- osuvné, s telesko ick </w:t>
            </w:r>
            <w:r>
              <w:rPr>
                <w:sz w:val="20"/>
                <w:vertAlign w:val="superscript"/>
              </w:rPr>
              <w:t xml:space="preserve">F </w:t>
            </w:r>
            <w:r>
              <w:rPr>
                <w:sz w:val="20"/>
              </w:rPr>
              <w:t>rn ramenom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  <w:tr w:rsidR="00A31C6F">
        <w:trPr>
          <w:trHeight w:val="283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tabs>
                <w:tab w:val="center" w:pos="394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Ďaišie ožadované vlastnosti:</w:t>
            </w:r>
            <w:r>
              <w:rPr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58413" cy="137166"/>
                  <wp:effectExtent l="0" t="0" r="0" b="0"/>
                  <wp:docPr id="16823" name="Picture 16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3" name="Picture 1682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13" cy="13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4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69424" cy="131070"/>
                  <wp:effectExtent l="0" t="0" r="0" b="0"/>
                  <wp:docPr id="16407" name="Picture 16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7" name="Picture 1640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24" cy="13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57822" cy="137166"/>
                  <wp:effectExtent l="0" t="0" r="0" b="0"/>
                  <wp:docPr id="16455" name="Picture 16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5" name="Picture 1645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822" cy="13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  <w:tr w:rsidR="00A31C6F">
        <w:trPr>
          <w:trHeight w:val="2484"/>
        </w:trPr>
        <w:tc>
          <w:tcPr>
            <w:tcW w:w="8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779" w:firstLine="0"/>
              <w:jc w:val="left"/>
            </w:pPr>
            <w:r>
              <w:rPr>
                <w:sz w:val="20"/>
              </w:rPr>
              <w:t>Bezpečnostná kabína s vykurovaním v/</w:t>
            </w:r>
          </w:p>
          <w:p w:rsidR="00A31C6F" w:rsidRDefault="00935803">
            <w:pPr>
              <w:spacing w:after="5" w:line="259" w:lineRule="auto"/>
              <w:ind w:left="784" w:firstLine="0"/>
              <w:jc w:val="left"/>
            </w:pPr>
            <w:r>
              <w:rPr>
                <w:sz w:val="20"/>
              </w:rPr>
              <w:t>Klimatizácia c/</w:t>
            </w:r>
          </w:p>
          <w:p w:rsidR="00A31C6F" w:rsidRDefault="00935803">
            <w:pPr>
              <w:spacing w:after="0" w:line="259" w:lineRule="auto"/>
              <w:ind w:left="784" w:firstLine="0"/>
              <w:jc w:val="left"/>
            </w:pPr>
            <w:r>
              <w:rPr>
                <w:sz w:val="22"/>
              </w:rPr>
              <w:t>Imobilizér/</w:t>
            </w:r>
          </w:p>
          <w:p w:rsidR="00A31C6F" w:rsidRDefault="00935803">
            <w:pPr>
              <w:spacing w:after="8" w:line="259" w:lineRule="auto"/>
              <w:ind w:left="775" w:firstLine="0"/>
              <w:jc w:val="left"/>
            </w:pPr>
            <w:r>
              <w:rPr>
                <w:sz w:val="20"/>
              </w:rPr>
              <w:t>Zvuková signalizácia spátného chodu</w:t>
            </w:r>
          </w:p>
          <w:p w:rsidR="00A31C6F" w:rsidRDefault="00935803">
            <w:pPr>
              <w:spacing w:line="259" w:lineRule="auto"/>
              <w:ind w:left="775" w:firstLine="0"/>
              <w:jc w:val="left"/>
            </w:pPr>
            <w:r>
              <w:rPr>
                <w:sz w:val="20"/>
              </w:rPr>
              <w:t>Cestná svetelná výbava</w:t>
            </w:r>
          </w:p>
          <w:p w:rsidR="00A31C6F" w:rsidRDefault="00935803">
            <w:pPr>
              <w:spacing w:after="0" w:line="252" w:lineRule="auto"/>
              <w:ind w:left="775" w:right="2650" w:firstLine="5"/>
            </w:pPr>
            <w:r>
              <w:rPr>
                <w:sz w:val="20"/>
              </w:rPr>
              <w:t>Oranžový maják na kabine (zapísaný do technického preukazu) Predpríprava na EÖV c/ Vybavenie stroja náradím:</w:t>
            </w:r>
          </w:p>
          <w:p w:rsidR="00A31C6F" w:rsidRDefault="00935803">
            <w:pPr>
              <w:spacing w:after="0" w:line="259" w:lineRule="auto"/>
              <w:ind w:left="789" w:firstLine="0"/>
              <w:jc w:val="left"/>
            </w:pPr>
            <w:r>
              <w:rPr>
                <w:sz w:val="20"/>
              </w:rPr>
              <w:t>podkopová lopata zubová s čapmi 650 — 700 mm / 680mm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  <w:tr w:rsidR="00A31C6F">
        <w:trPr>
          <w:trHeight w:val="296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69" w:firstLine="0"/>
              <w:jc w:val="left"/>
            </w:pPr>
            <w:r>
              <w:rPr>
                <w:sz w:val="22"/>
              </w:rPr>
              <w:t>Osobitné ožiadavk na lnenie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  <w:tr w:rsidR="00A31C6F">
        <w:trPr>
          <w:trHeight w:val="2608"/>
        </w:trPr>
        <w:tc>
          <w:tcPr>
            <w:tcW w:w="8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779" w:right="499" w:firstLine="5"/>
            </w:pPr>
            <w:r>
              <w:rPr>
                <w:sz w:val="20"/>
              </w:rPr>
              <w:t>ovládanie všetkých pracovných funkcií predného ramena nakladača vrátane prídavných hydraulických okruhov z kabíny vodiča jedným ovládačom / náhon všetkých kolies v/ CE certifikácia pre EU r/ motor spíňajúci platnú emisnú normu v čase dodávky q/ odpružená s</w:t>
            </w:r>
            <w:r>
              <w:rPr>
                <w:sz w:val="20"/>
              </w:rPr>
              <w:t>edačka c/ skrinka na náradte zaistenie podkopu v/ dvere po obidvoch stranách kabiny/ tlmenie všetkých hydraulických valcov podkopu v krajných polohách, okrem valca lopaty c/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C6F" w:rsidRDefault="00A31C6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31C6F" w:rsidRDefault="00935803">
      <w:pPr>
        <w:spacing w:line="262" w:lineRule="auto"/>
        <w:ind w:left="96" w:hanging="10"/>
        <w:jc w:val="left"/>
      </w:pPr>
      <w:r>
        <w:rPr>
          <w:sz w:val="20"/>
        </w:rPr>
        <w:t>Na základe vyššie uvedených požiadaviek predkladám nasledovnú cenovú ponuku:</w:t>
      </w:r>
    </w:p>
    <w:tbl>
      <w:tblPr>
        <w:tblStyle w:val="TableGrid"/>
        <w:tblW w:w="8771" w:type="dxa"/>
        <w:tblInd w:w="-27" w:type="dxa"/>
        <w:tblCellMar>
          <w:top w:w="40" w:type="dxa"/>
          <w:left w:w="11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2925"/>
        <w:gridCol w:w="2920"/>
        <w:gridCol w:w="2926"/>
      </w:tblGrid>
      <w:tr w:rsidR="00A31C6F">
        <w:trPr>
          <w:trHeight w:val="248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>Predmet prieskumu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Cena spoju bez DPH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C6F" w:rsidRDefault="0093580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>Cena spolu s DPH</w:t>
            </w:r>
          </w:p>
        </w:tc>
      </w:tr>
      <w:tr w:rsidR="00A31C6F">
        <w:trPr>
          <w:trHeight w:val="487"/>
        </w:trPr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1C6F" w:rsidRDefault="0093580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Kolesový rýpadlo-nakladač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31C6F" w:rsidRDefault="00935803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67.280,00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1C6F" w:rsidRDefault="00935803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80.736,00 eur</w:t>
            </w:r>
          </w:p>
        </w:tc>
      </w:tr>
    </w:tbl>
    <w:p w:rsidR="00A31C6F" w:rsidRDefault="00935803">
      <w:pPr>
        <w:spacing w:after="285" w:line="262" w:lineRule="auto"/>
        <w:ind w:left="96" w:hanging="10"/>
        <w:jc w:val="left"/>
      </w:pPr>
      <w:r>
        <w:rPr>
          <w:sz w:val="20"/>
        </w:rPr>
        <w:t>V Detve, drha 22.06.2020</w:t>
      </w:r>
    </w:p>
    <w:p w:rsidR="00A31C6F" w:rsidRDefault="00935803">
      <w:pPr>
        <w:spacing w:line="262" w:lineRule="auto"/>
        <w:ind w:left="96" w:hanging="10"/>
        <w:jc w:val="left"/>
      </w:pPr>
      <w:r>
        <w:rPr>
          <w:sz w:val="20"/>
        </w:rPr>
        <w:t>Ponuku vypracoval:</w:t>
      </w:r>
      <w:r>
        <w:rPr>
          <w:noProof/>
        </w:rPr>
        <w:drawing>
          <wp:inline distT="0" distB="0" distL="0" distR="0">
            <wp:extent cx="1057727" cy="182889"/>
            <wp:effectExtent l="0" t="0" r="0" b="0"/>
            <wp:docPr id="32996" name="Picture 32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96" name="Picture 3299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57727" cy="18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Podpis a pečiatka (ak používa):</w:t>
      </w:r>
    </w:p>
    <w:sectPr w:rsidR="00A31C6F">
      <w:headerReference w:type="even" r:id="rId29"/>
      <w:headerReference w:type="default" r:id="rId30"/>
      <w:headerReference w:type="first" r:id="rId31"/>
      <w:pgSz w:w="11900" w:h="16820"/>
      <w:pgMar w:top="624" w:right="1642" w:bottom="1781" w:left="19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5803">
      <w:pPr>
        <w:spacing w:after="0" w:line="240" w:lineRule="auto"/>
      </w:pPr>
      <w:r>
        <w:separator/>
      </w:r>
    </w:p>
  </w:endnote>
  <w:endnote w:type="continuationSeparator" w:id="0">
    <w:p w:rsidR="00000000" w:rsidRDefault="0093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5803">
      <w:pPr>
        <w:spacing w:after="0" w:line="240" w:lineRule="auto"/>
      </w:pPr>
      <w:r>
        <w:separator/>
      </w:r>
    </w:p>
  </w:footnote>
  <w:footnote w:type="continuationSeparator" w:id="0">
    <w:p w:rsidR="00000000" w:rsidRDefault="0093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6F" w:rsidRDefault="00935803">
    <w:pPr>
      <w:spacing w:after="10" w:line="249" w:lineRule="auto"/>
      <w:ind w:left="6644" w:right="998" w:firstLine="0"/>
      <w:jc w:val="center"/>
    </w:pPr>
    <w:r>
      <w:rPr>
        <w:sz w:val="16"/>
      </w:rPr>
      <w:t xml:space="preserve">EURóPSKA </w:t>
    </w:r>
    <w:r>
      <w:rPr>
        <w:sz w:val="14"/>
      </w:rPr>
      <w:t xml:space="preserve">EURóPSKY </w:t>
    </w:r>
  </w:p>
  <w:p w:rsidR="00A31C6F" w:rsidRDefault="00935803">
    <w:pPr>
      <w:spacing w:after="0" w:line="259" w:lineRule="auto"/>
      <w:ind w:left="4992" w:firstLine="0"/>
      <w:jc w:val="center"/>
    </w:pPr>
    <w:r>
      <w:rPr>
        <w:sz w:val="14"/>
      </w:rPr>
      <w:t xml:space="preserve">REGIONÁLNEHO </w:t>
    </w:r>
  </w:p>
  <w:p w:rsidR="00A31C6F" w:rsidRDefault="00935803">
    <w:pPr>
      <w:spacing w:after="0" w:line="216" w:lineRule="auto"/>
      <w:ind w:left="615" w:right="6677" w:hanging="125"/>
      <w:jc w:val="left"/>
    </w:pPr>
    <w:r>
      <w:rPr>
        <w:sz w:val="14"/>
      </w:rPr>
      <w:t>Integrovaný regionálny operačný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6F" w:rsidRDefault="00935803">
    <w:pPr>
      <w:spacing w:after="10" w:line="249" w:lineRule="auto"/>
      <w:ind w:left="6644" w:right="998" w:firstLine="0"/>
      <w:jc w:val="center"/>
    </w:pPr>
    <w:r>
      <w:rPr>
        <w:sz w:val="16"/>
      </w:rPr>
      <w:t xml:space="preserve">EURóPSKA </w:t>
    </w:r>
    <w:r>
      <w:rPr>
        <w:sz w:val="14"/>
      </w:rPr>
      <w:t xml:space="preserve">EURóPSKY </w:t>
    </w:r>
  </w:p>
  <w:p w:rsidR="00A31C6F" w:rsidRDefault="00935803">
    <w:pPr>
      <w:spacing w:after="0" w:line="259" w:lineRule="auto"/>
      <w:ind w:left="4992" w:firstLine="0"/>
      <w:jc w:val="center"/>
    </w:pPr>
    <w:r>
      <w:rPr>
        <w:sz w:val="14"/>
      </w:rPr>
      <w:t xml:space="preserve">REGIONÁLNEHO </w:t>
    </w:r>
  </w:p>
  <w:p w:rsidR="00A31C6F" w:rsidRDefault="00935803">
    <w:pPr>
      <w:spacing w:after="0" w:line="216" w:lineRule="auto"/>
      <w:ind w:left="615" w:right="6677" w:hanging="125"/>
      <w:jc w:val="left"/>
    </w:pPr>
    <w:r>
      <w:rPr>
        <w:sz w:val="14"/>
      </w:rPr>
      <w:t>Integrovaný regionálny operačný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6F" w:rsidRDefault="00935803">
    <w:pPr>
      <w:spacing w:after="10" w:line="249" w:lineRule="auto"/>
      <w:ind w:left="6644" w:right="998" w:firstLine="0"/>
      <w:jc w:val="center"/>
    </w:pPr>
    <w:r>
      <w:rPr>
        <w:sz w:val="16"/>
      </w:rPr>
      <w:t xml:space="preserve">EURóPSKA </w:t>
    </w:r>
    <w:r>
      <w:rPr>
        <w:sz w:val="14"/>
      </w:rPr>
      <w:t xml:space="preserve">EURóPSKY </w:t>
    </w:r>
  </w:p>
  <w:p w:rsidR="00A31C6F" w:rsidRDefault="00935803">
    <w:pPr>
      <w:spacing w:after="0" w:line="259" w:lineRule="auto"/>
      <w:ind w:left="4992" w:firstLine="0"/>
      <w:jc w:val="center"/>
    </w:pPr>
    <w:r>
      <w:rPr>
        <w:sz w:val="14"/>
      </w:rPr>
      <w:t xml:space="preserve">REGIONÁLNEHO </w:t>
    </w:r>
  </w:p>
  <w:p w:rsidR="00A31C6F" w:rsidRDefault="00935803">
    <w:pPr>
      <w:spacing w:after="0" w:line="216" w:lineRule="auto"/>
      <w:ind w:left="615" w:right="6677" w:hanging="125"/>
      <w:jc w:val="left"/>
    </w:pPr>
    <w:r>
      <w:rPr>
        <w:sz w:val="14"/>
      </w:rPr>
      <w:t>Integrovaný regionálny operačný program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6F" w:rsidRDefault="00A31C6F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6F" w:rsidRDefault="00A31C6F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6F" w:rsidRDefault="00A31C6F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6F"/>
    <w:rsid w:val="00935803"/>
    <w:rsid w:val="00A3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CC70C6D-3A2E-4933-BD71-BE6E8F5D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24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2" w:lineRule="auto"/>
      <w:ind w:left="24" w:hanging="5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1.jpg"/><Relationship Id="rId26" Type="http://schemas.openxmlformats.org/officeDocument/2006/relationships/image" Target="media/image16.jpg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g"/><Relationship Id="rId12" Type="http://schemas.openxmlformats.org/officeDocument/2006/relationships/image" Target="media/image18.jpg"/><Relationship Id="rId17" Type="http://schemas.openxmlformats.org/officeDocument/2006/relationships/image" Target="media/image90.jpg"/><Relationship Id="rId25" Type="http://schemas.openxmlformats.org/officeDocument/2006/relationships/image" Target="media/image15.jp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header" Target="header2.xml"/><Relationship Id="rId29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4.jp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3.jpg"/><Relationship Id="rId28" Type="http://schemas.openxmlformats.org/officeDocument/2006/relationships/image" Target="media/image19.jpg"/><Relationship Id="rId10" Type="http://schemas.openxmlformats.org/officeDocument/2006/relationships/image" Target="media/image5.jpg"/><Relationship Id="rId19" Type="http://schemas.openxmlformats.org/officeDocument/2006/relationships/header" Target="header1.xml"/><Relationship Id="rId31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8.jp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header" Target="header5.xm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7599</Characters>
  <Application>Microsoft Office Word</Application>
  <DocSecurity>4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2022-01-17T10:17:00Z</dcterms:created>
  <dcterms:modified xsi:type="dcterms:W3CDTF">2022-01-17T10:17:00Z</dcterms:modified>
</cp:coreProperties>
</file>